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EF" w:rsidRDefault="00DF68EF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DF68EF" w:rsidRDefault="00DF68EF">
      <w:pPr>
        <w:pStyle w:val="13"/>
        <w:jc w:val="center"/>
      </w:pPr>
    </w:p>
    <w:p w:rsidR="00DF68EF" w:rsidRDefault="00DF68EF">
      <w:pPr>
        <w:pStyle w:val="13"/>
      </w:pPr>
    </w:p>
    <w:p w:rsidR="00DF68EF" w:rsidRDefault="00DF68EF">
      <w:pPr>
        <w:keepNext/>
        <w:jc w:val="center"/>
        <w:outlineLvl w:val="0"/>
      </w:pPr>
    </w:p>
    <w:p w:rsidR="00574025" w:rsidRDefault="00461692" w:rsidP="00574025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74025">
        <w:rPr>
          <w:sz w:val="28"/>
          <w:szCs w:val="28"/>
          <w:lang w:val="uk-UA"/>
        </w:rPr>
        <w:t>№ 3</w:t>
      </w:r>
      <w:r w:rsidR="00574025">
        <w:rPr>
          <w:sz w:val="28"/>
          <w:szCs w:val="28"/>
          <w:lang w:val="uk-UA"/>
        </w:rPr>
        <w:tab/>
        <w:t xml:space="preserve">       </w:t>
      </w:r>
    </w:p>
    <w:p w:rsidR="00D25776" w:rsidRDefault="00D25776" w:rsidP="00D25776">
      <w:pPr>
        <w:jc w:val="right"/>
        <w:rPr>
          <w:sz w:val="28"/>
        </w:rPr>
      </w:pPr>
      <w:proofErr w:type="gramStart"/>
      <w:r>
        <w:rPr>
          <w:sz w:val="28"/>
        </w:rPr>
        <w:t xml:space="preserve">до  </w:t>
      </w:r>
      <w:proofErr w:type="spellStart"/>
      <w:r>
        <w:rPr>
          <w:sz w:val="28"/>
        </w:rPr>
        <w:t>рішення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 ради  </w:t>
      </w:r>
      <w:r>
        <w:rPr>
          <w:sz w:val="28"/>
          <w:lang w:val="en-US"/>
        </w:rPr>
        <w:t>VII</w:t>
      </w:r>
      <w:r w:rsidRPr="00414D83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скликання</w:t>
      </w:r>
      <w:proofErr w:type="spellEnd"/>
      <w:r>
        <w:rPr>
          <w:sz w:val="28"/>
        </w:rPr>
        <w:t xml:space="preserve"> </w:t>
      </w:r>
    </w:p>
    <w:p w:rsidR="00D25776" w:rsidRDefault="00D25776" w:rsidP="00D25776">
      <w:pPr>
        <w:jc w:val="center"/>
      </w:pPr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16  </w:t>
      </w:r>
      <w:proofErr w:type="spellStart"/>
      <w:r>
        <w:rPr>
          <w:sz w:val="28"/>
        </w:rPr>
        <w:t>січня</w:t>
      </w:r>
      <w:proofErr w:type="spellEnd"/>
      <w:proofErr w:type="gramEnd"/>
      <w:r>
        <w:rPr>
          <w:sz w:val="28"/>
        </w:rPr>
        <w:t xml:space="preserve"> 2019р.  № </w:t>
      </w:r>
      <w:r w:rsidR="00414D83">
        <w:rPr>
          <w:sz w:val="28"/>
          <w:lang w:val="uk-UA"/>
        </w:rPr>
        <w:t>6</w:t>
      </w:r>
      <w:r>
        <w:rPr>
          <w:sz w:val="28"/>
        </w:rPr>
        <w:t>-50/2019</w:t>
      </w:r>
    </w:p>
    <w:p w:rsidR="00DF68EF" w:rsidRDefault="00DF68EF">
      <w:pPr>
        <w:tabs>
          <w:tab w:val="left" w:pos="6480"/>
          <w:tab w:val="left" w:pos="6690"/>
        </w:tabs>
        <w:ind w:left="2124" w:right="-720" w:firstLine="2124"/>
        <w:rPr>
          <w:sz w:val="28"/>
          <w:szCs w:val="28"/>
          <w:lang w:val="uk-UA"/>
        </w:rPr>
      </w:pPr>
    </w:p>
    <w:p w:rsidR="00DF68EF" w:rsidRDefault="00DF68EF">
      <w:pPr>
        <w:shd w:val="clear" w:color="auto" w:fill="FFFFFF"/>
        <w:spacing w:line="317" w:lineRule="exact"/>
        <w:ind w:right="-55"/>
        <w:jc w:val="center"/>
        <w:rPr>
          <w:b/>
          <w:sz w:val="28"/>
          <w:szCs w:val="28"/>
          <w:u w:val="single"/>
          <w:lang w:val="uk-UA"/>
        </w:rPr>
      </w:pPr>
    </w:p>
    <w:p w:rsidR="00DF68EF" w:rsidRDefault="00461692">
      <w:pPr>
        <w:shd w:val="clear" w:color="auto" w:fill="FFFFFF"/>
        <w:spacing w:line="317" w:lineRule="exact"/>
        <w:ind w:right="-55"/>
        <w:jc w:val="center"/>
      </w:pPr>
      <w:r>
        <w:rPr>
          <w:b/>
          <w:sz w:val="28"/>
          <w:szCs w:val="28"/>
          <w:u w:val="single"/>
          <w:lang w:val="uk-UA"/>
        </w:rPr>
        <w:t>МІСЬКА   ЦІЛЬОВА  ПРОГРАМА   З   ВИКОНАННЯ   ВЛАСНИХ ПОВНОВАЖЕНЬ   НІЖИНСЬКОЇ   МІСЬКОЇ   РАДИ НА 2019 рік</w:t>
      </w:r>
    </w:p>
    <w:p w:rsidR="00DF68EF" w:rsidRDefault="00DF68EF">
      <w:pPr>
        <w:jc w:val="center"/>
        <w:rPr>
          <w:b/>
          <w:sz w:val="28"/>
          <w:szCs w:val="28"/>
          <w:u w:val="single"/>
          <w:lang w:val="uk-UA"/>
        </w:rPr>
      </w:pPr>
    </w:p>
    <w:p w:rsidR="00DF68EF" w:rsidRDefault="00DF68EF">
      <w:pPr>
        <w:jc w:val="center"/>
        <w:rPr>
          <w:b/>
          <w:sz w:val="28"/>
          <w:szCs w:val="28"/>
          <w:u w:val="single"/>
          <w:lang w:val="uk-UA"/>
        </w:rPr>
      </w:pPr>
    </w:p>
    <w:p w:rsidR="00DF68EF" w:rsidRDefault="00461692">
      <w:pPr>
        <w:jc w:val="center"/>
      </w:pPr>
      <w:r>
        <w:rPr>
          <w:b/>
          <w:sz w:val="28"/>
          <w:szCs w:val="28"/>
          <w:lang w:val="uk-UA"/>
        </w:rPr>
        <w:t xml:space="preserve">І. Паспорт   </w:t>
      </w:r>
    </w:p>
    <w:p w:rsidR="00DF68EF" w:rsidRDefault="00DF68EF">
      <w:pPr>
        <w:jc w:val="center"/>
      </w:pPr>
    </w:p>
    <w:tbl>
      <w:tblPr>
        <w:tblW w:w="975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</w:pPr>
            <w:r>
              <w:rPr>
                <w:sz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Законодавча</w:t>
            </w:r>
            <w:proofErr w:type="spellEnd"/>
            <w:r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нормативні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pStyle w:val="a6"/>
              <w:ind w:firstLine="72"/>
            </w:pPr>
            <w:r>
              <w:rPr>
                <w:sz w:val="28"/>
              </w:rPr>
              <w:t xml:space="preserve">Бюджетний кодекс, </w:t>
            </w:r>
            <w:r>
              <w:rPr>
                <w:color w:val="000000"/>
                <w:sz w:val="28"/>
                <w:szCs w:val="28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>
              <w:rPr>
                <w:sz w:val="28"/>
              </w:rPr>
              <w:t xml:space="preserve">   «Про місцеве самоврядування в Україні», «Про статус депутатів місцевих рад», </w:t>
            </w:r>
            <w:r>
              <w:rPr>
                <w:bCs/>
                <w:sz w:val="28"/>
                <w:szCs w:val="28"/>
              </w:rPr>
              <w:t xml:space="preserve">  «Про службу в органах місцевого </w:t>
            </w:r>
            <w:proofErr w:type="spellStart"/>
            <w:r>
              <w:rPr>
                <w:bCs/>
                <w:sz w:val="28"/>
                <w:szCs w:val="28"/>
              </w:rPr>
              <w:t>самоврядування»,</w:t>
            </w:r>
            <w:r>
              <w:rPr>
                <w:sz w:val="28"/>
              </w:rPr>
              <w:t>Статути</w:t>
            </w:r>
            <w:proofErr w:type="spellEnd"/>
            <w:r>
              <w:rPr>
                <w:sz w:val="28"/>
              </w:rPr>
              <w:t xml:space="preserve">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>
              <w:rPr>
                <w:bCs/>
                <w:sz w:val="28"/>
                <w:szCs w:val="28"/>
              </w:rPr>
              <w:t>Наказ Головного управління державної служби України від 29.12.2009р. №406 «</w:t>
            </w:r>
            <w:r>
              <w:rPr>
                <w:color w:val="000000"/>
                <w:sz w:val="28"/>
                <w:szCs w:val="28"/>
              </w:rPr>
              <w:t xml:space="preserve">Про затвердження Типових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</w:t>
            </w:r>
            <w:proofErr w:type="spellEnd"/>
            <w:r>
              <w:rPr>
                <w:color w:val="000000"/>
                <w:sz w:val="28"/>
                <w:szCs w:val="28"/>
              </w:rPr>
              <w:t>-кваліфікаційних характеристик посадових осіб місцевого самоврядування</w:t>
            </w:r>
            <w:r>
              <w:rPr>
                <w:bCs/>
                <w:sz w:val="28"/>
                <w:szCs w:val="28"/>
              </w:rPr>
              <w:t xml:space="preserve">», рішення виконавчого комітету «Про укладення Меморандуму про </w:t>
            </w:r>
            <w:r>
              <w:rPr>
                <w:rStyle w:val="FontStyle11"/>
                <w:b w:val="0"/>
                <w:sz w:val="28"/>
                <w:szCs w:val="28"/>
                <w:lang w:eastAsia="uk-UA"/>
              </w:rPr>
              <w:t xml:space="preserve">співпрацю між Виконавчим комітетом Ніжинської міської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  <w:lang w:eastAsia="uk-UA"/>
              </w:rPr>
              <w:t>ради</w:t>
            </w:r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z w:val="28"/>
                <w:szCs w:val="28"/>
              </w:rPr>
              <w:t xml:space="preserve"> Ніжинським державним університетом імені М. Гоголя», «Про </w:t>
            </w:r>
            <w:r>
              <w:rPr>
                <w:sz w:val="28"/>
                <w:szCs w:val="28"/>
              </w:rPr>
              <w:lastRenderedPageBreak/>
              <w:t xml:space="preserve">укладення Меморандуму </w:t>
            </w:r>
            <w:r>
              <w:rPr>
                <w:rStyle w:val="FontStyle11"/>
                <w:b w:val="0"/>
                <w:sz w:val="28"/>
                <w:szCs w:val="28"/>
                <w:lang w:eastAsia="uk-UA"/>
              </w:rPr>
              <w:t xml:space="preserve">про співпрацю між виконавчим комітетом Ніжинської міської ради </w:t>
            </w:r>
            <w:r>
              <w:rPr>
                <w:sz w:val="28"/>
                <w:szCs w:val="28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</w:pPr>
            <w:r>
              <w:rPr>
                <w:sz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Відділ</w:t>
            </w:r>
            <w:r>
              <w:rPr>
                <w:bCs/>
                <w:sz w:val="28"/>
                <w:szCs w:val="28"/>
                <w:lang w:val="uk-UA"/>
              </w:rPr>
              <w:t>ивиконкому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інформаційно-аналітичної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роботи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</w:rPr>
              <w:t>комунікацій</w:t>
            </w:r>
            <w:proofErr w:type="spellEnd"/>
            <w:r>
              <w:rPr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Cs/>
                <w:sz w:val="28"/>
                <w:szCs w:val="28"/>
              </w:rPr>
              <w:t>громадськістю,архівний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інвестиційний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bCs/>
                <w:sz w:val="28"/>
                <w:szCs w:val="28"/>
              </w:rPr>
              <w:t xml:space="preserve">, квартирного </w:t>
            </w:r>
            <w:proofErr w:type="spellStart"/>
            <w:r>
              <w:rPr>
                <w:bCs/>
                <w:sz w:val="28"/>
                <w:szCs w:val="28"/>
              </w:rPr>
              <w:t>обліку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приватизації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житла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</w:rPr>
              <w:t>ведення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реєстру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економіки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інансове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і туризму,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УЖКГтаБ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УПСЗН,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ді</w:t>
            </w:r>
            <w:r>
              <w:rPr>
                <w:bCs/>
                <w:color w:val="000000"/>
                <w:sz w:val="28"/>
                <w:szCs w:val="28"/>
              </w:rPr>
              <w:t xml:space="preserve">л 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 спорту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 комунальні підприємства, установи, організації міста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both"/>
            </w:pPr>
            <w:r>
              <w:rPr>
                <w:sz w:val="28"/>
                <w:lang w:val="uk-UA"/>
              </w:rPr>
              <w:t xml:space="preserve">Виконавчий комітет, </w:t>
            </w:r>
            <w:r>
              <w:rPr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>
              <w:rPr>
                <w:color w:val="000000"/>
                <w:sz w:val="28"/>
                <w:szCs w:val="28"/>
              </w:rPr>
              <w:t>інансове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туризму,управління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УЖКГтаБ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УПСЗН,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ді</w:t>
            </w:r>
            <w:r>
              <w:rPr>
                <w:color w:val="000000"/>
                <w:sz w:val="28"/>
                <w:szCs w:val="28"/>
              </w:rPr>
              <w:t xml:space="preserve">л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спорту,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комунальні підприємства, установи, організації міста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 xml:space="preserve">Виконавчий комітет,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фінансове управління, управління культури і туризму, управління освіти,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УЖКГтаБ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УПСЗН, відділ з питань фізичної культури та спорту.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 xml:space="preserve">Виконавчий комітет,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туризму,управління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УЖКГтаБ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УПСЗН,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ді</w:t>
            </w:r>
            <w:r>
              <w:rPr>
                <w:color w:val="000000"/>
                <w:sz w:val="28"/>
                <w:szCs w:val="28"/>
              </w:rPr>
              <w:t xml:space="preserve">л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спорту,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комунальні підприємства, установи, організації міста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>2019р.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8.1.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Етапи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  <w:p w:rsidR="00DF68EF" w:rsidRDefault="00461692">
            <w:r>
              <w:rPr>
                <w:sz w:val="28"/>
                <w:szCs w:val="28"/>
              </w:rPr>
              <w:t xml:space="preserve">(для </w:t>
            </w:r>
            <w:proofErr w:type="spellStart"/>
            <w:r>
              <w:rPr>
                <w:sz w:val="28"/>
                <w:szCs w:val="28"/>
              </w:rPr>
              <w:t>довгострокових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>-</w:t>
            </w:r>
          </w:p>
          <w:p w:rsidR="00DF68EF" w:rsidRDefault="00DF68E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>Міський бюджет</w:t>
            </w:r>
          </w:p>
        </w:tc>
      </w:tr>
      <w:tr w:rsidR="00DF68EF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кредиторська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F68EF" w:rsidRDefault="00461692">
            <w:r>
              <w:rPr>
                <w:sz w:val="28"/>
                <w:szCs w:val="28"/>
              </w:rPr>
              <w:t xml:space="preserve">у </w:t>
            </w:r>
            <w:r>
              <w:rPr>
                <w:spacing w:val="-6"/>
                <w:sz w:val="28"/>
                <w:szCs w:val="28"/>
              </w:rPr>
              <w:t xml:space="preserve">тому </w:t>
            </w:r>
            <w:proofErr w:type="spellStart"/>
            <w:r>
              <w:rPr>
                <w:spacing w:val="-6"/>
                <w:sz w:val="28"/>
                <w:szCs w:val="28"/>
              </w:rPr>
              <w:t>числі</w:t>
            </w:r>
            <w:proofErr w:type="spellEnd"/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spacing w:after="200"/>
              <w:jc w:val="center"/>
            </w:pPr>
            <w:r>
              <w:rPr>
                <w:bCs/>
                <w:sz w:val="28"/>
                <w:szCs w:val="28"/>
                <w:lang w:val="uk-UA"/>
              </w:rPr>
              <w:t>200 000,00грн. (додаток до програми)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10.1.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>200 000,00 грн.</w:t>
            </w:r>
          </w:p>
        </w:tc>
      </w:tr>
      <w:tr w:rsidR="00DF68E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r>
              <w:rPr>
                <w:sz w:val="28"/>
                <w:szCs w:val="28"/>
              </w:rPr>
              <w:t>10.2.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F68EF" w:rsidRDefault="00461692">
            <w:pPr>
              <w:jc w:val="center"/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DF68EF" w:rsidRDefault="00DF68EF">
      <w:pPr>
        <w:jc w:val="center"/>
        <w:rPr>
          <w:b/>
          <w:sz w:val="28"/>
          <w:szCs w:val="28"/>
          <w:lang w:val="uk-UA"/>
        </w:rPr>
      </w:pPr>
    </w:p>
    <w:p w:rsidR="00DF68EF" w:rsidRDefault="00461692">
      <w:pPr>
        <w:jc w:val="center"/>
      </w:pPr>
      <w:r>
        <w:rPr>
          <w:b/>
          <w:sz w:val="28"/>
        </w:rPr>
        <w:t xml:space="preserve">ІІ. </w:t>
      </w:r>
      <w:proofErr w:type="gramStart"/>
      <w:r>
        <w:rPr>
          <w:b/>
          <w:sz w:val="28"/>
          <w:u w:val="single"/>
        </w:rPr>
        <w:t>Проблема,  на</w:t>
      </w:r>
      <w:proofErr w:type="gram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якої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спрямована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програма</w:t>
      </w:r>
      <w:proofErr w:type="spellEnd"/>
    </w:p>
    <w:p w:rsidR="00DF68EF" w:rsidRDefault="00461692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DF68EF" w:rsidRDefault="00461692">
      <w:pPr>
        <w:pStyle w:val="11"/>
        <w:spacing w:before="0" w:after="0"/>
        <w:ind w:firstLine="709"/>
        <w:jc w:val="both"/>
      </w:pPr>
      <w:r>
        <w:rPr>
          <w:sz w:val="28"/>
          <w:szCs w:val="28"/>
        </w:rPr>
        <w:t xml:space="preserve">Разом з тим, організація навчання посадових осіб органів місцевого самоврядування </w:t>
      </w:r>
      <w:proofErr w:type="spellStart"/>
      <w:r>
        <w:rPr>
          <w:sz w:val="28"/>
          <w:szCs w:val="28"/>
        </w:rPr>
        <w:t>ускладнюється</w:t>
      </w:r>
      <w:proofErr w:type="spellEnd"/>
      <w:r>
        <w:rPr>
          <w:sz w:val="28"/>
          <w:szCs w:val="28"/>
        </w:rPr>
        <w:t>:</w:t>
      </w:r>
    </w:p>
    <w:p w:rsidR="00DF68EF" w:rsidRDefault="00461692">
      <w:pPr>
        <w:pStyle w:val="11"/>
        <w:spacing w:before="0" w:after="0"/>
        <w:jc w:val="both"/>
      </w:pPr>
      <w:r>
        <w:rPr>
          <w:sz w:val="28"/>
          <w:szCs w:val="28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DF68EF" w:rsidRDefault="00461692">
      <w:pPr>
        <w:pStyle w:val="11"/>
        <w:spacing w:before="0" w:after="0"/>
        <w:jc w:val="both"/>
      </w:pPr>
      <w:r>
        <w:rPr>
          <w:sz w:val="28"/>
          <w:szCs w:val="28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DF68EF" w:rsidRDefault="00461692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DF68EF" w:rsidRDefault="00461692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DF68EF" w:rsidRDefault="00461692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 умовах сучасності важливою необхідністю є  </w:t>
      </w:r>
      <w:r>
        <w:rPr>
          <w:color w:val="000000"/>
          <w:sz w:val="28"/>
          <w:szCs w:val="28"/>
        </w:rPr>
        <w:t>інформування населення міста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міського бюджету.</w:t>
      </w:r>
    </w:p>
    <w:p w:rsidR="00DF68EF" w:rsidRDefault="00461692">
      <w:pPr>
        <w:pStyle w:val="11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Необхідність комплексної системи заходів по виконанню </w:t>
      </w:r>
      <w:r>
        <w:rPr>
          <w:color w:val="000000"/>
          <w:sz w:val="28"/>
          <w:szCs w:val="28"/>
        </w:rPr>
        <w:t>державної регуляторної політики у сфері господарської діяльності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забезпечує виконання чинного законодавства України: </w:t>
      </w:r>
      <w:r>
        <w:rPr>
          <w:color w:val="000000"/>
          <w:sz w:val="28"/>
          <w:szCs w:val="28"/>
        </w:rPr>
        <w:t>Кодексу України «Про адміністративні правопорушення»</w:t>
      </w:r>
      <w:r>
        <w:rPr>
          <w:sz w:val="28"/>
          <w:szCs w:val="28"/>
        </w:rPr>
        <w:t xml:space="preserve">, законів України </w:t>
      </w:r>
      <w:r>
        <w:rPr>
          <w:color w:val="000000"/>
          <w:sz w:val="28"/>
          <w:szCs w:val="28"/>
        </w:rPr>
        <w:t>«Про засади державної регуляторної політики у сфері господарської діяльності»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>
        <w:rPr>
          <w:bCs/>
          <w:sz w:val="28"/>
          <w:szCs w:val="28"/>
        </w:rPr>
        <w:t xml:space="preserve">підвищує ефективність управлінських рішень. </w:t>
      </w:r>
    </w:p>
    <w:p w:rsidR="00DF68EF" w:rsidRDefault="00461692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 самоорганізації населення є однією з форм участі членів територіальної громади міста у вирішенні окремих питань місцевого значення . Вони мають значний потенціал та великі можливості для  сприяння розвитку громади міста, залучення мешканців мікрорайонів до </w:t>
      </w:r>
      <w:proofErr w:type="spellStart"/>
      <w:r>
        <w:rPr>
          <w:color w:val="000000"/>
          <w:sz w:val="28"/>
          <w:szCs w:val="28"/>
        </w:rPr>
        <w:t>розвязання</w:t>
      </w:r>
      <w:proofErr w:type="spellEnd"/>
      <w:r>
        <w:rPr>
          <w:color w:val="000000"/>
          <w:sz w:val="28"/>
          <w:szCs w:val="28"/>
        </w:rPr>
        <w:t xml:space="preserve"> міських проблем, зокрема, проблем житлово-комунального господарства. </w:t>
      </w:r>
    </w:p>
    <w:p w:rsidR="00DF68EF" w:rsidRDefault="00DF68EF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F68EF" w:rsidRDefault="00461692">
      <w:pPr>
        <w:shd w:val="clear" w:color="auto" w:fill="FFFFFF"/>
        <w:spacing w:line="317" w:lineRule="exact"/>
        <w:ind w:firstLine="720"/>
        <w:jc w:val="center"/>
      </w:pPr>
      <w:r>
        <w:rPr>
          <w:b/>
          <w:bCs/>
          <w:spacing w:val="-2"/>
          <w:sz w:val="28"/>
          <w:szCs w:val="28"/>
        </w:rPr>
        <w:lastRenderedPageBreak/>
        <w:t xml:space="preserve">ІІІ. </w:t>
      </w:r>
      <w:r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:rsidR="00DF68EF" w:rsidRDefault="00461692">
      <w:pPr>
        <w:jc w:val="both"/>
      </w:pPr>
      <w:r>
        <w:rPr>
          <w:color w:val="000000"/>
          <w:sz w:val="28"/>
          <w:szCs w:val="28"/>
          <w:lang w:val="uk-UA"/>
        </w:rPr>
        <w:t xml:space="preserve">Головною метою програми є: </w:t>
      </w:r>
    </w:p>
    <w:p w:rsidR="00DF68EF" w:rsidRDefault="00461692">
      <w:pPr>
        <w:jc w:val="both"/>
      </w:pPr>
      <w:r>
        <w:rPr>
          <w:color w:val="000000"/>
          <w:sz w:val="28"/>
          <w:szCs w:val="28"/>
          <w:lang w:val="uk-UA"/>
        </w:rPr>
        <w:t>- забезпечення виконання  Кодексу України «Про адміністративні правопорушення», Цивільного Кодексу України</w:t>
      </w:r>
      <w:r>
        <w:rPr>
          <w:b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>
        <w:rPr>
          <w:sz w:val="28"/>
          <w:szCs w:val="28"/>
          <w:lang w:val="uk-UA"/>
        </w:rPr>
        <w:t>адміністративної комісії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матеріально-технічне забезпечення  роботи виборчих комісій у міжвиборчий період тощо;</w:t>
      </w:r>
    </w:p>
    <w:p w:rsidR="00DF68EF" w:rsidRDefault="00461692">
      <w:pPr>
        <w:jc w:val="both"/>
      </w:pPr>
      <w:r>
        <w:rPr>
          <w:color w:val="000000"/>
          <w:sz w:val="28"/>
          <w:szCs w:val="28"/>
          <w:lang w:val="uk-UA"/>
        </w:rPr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DF68EF" w:rsidRDefault="00461692">
      <w:pPr>
        <w:pStyle w:val="a6"/>
      </w:pPr>
      <w:r>
        <w:rPr>
          <w:sz w:val="28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</w:t>
      </w:r>
      <w:r>
        <w:rPr>
          <w:sz w:val="28"/>
          <w:szCs w:val="28"/>
        </w:rPr>
        <w:t xml:space="preserve">становлення, розвиток і зміцнення </w:t>
      </w:r>
      <w:hyperlink r:id="rId5">
        <w:r>
          <w:rPr>
            <w:rStyle w:val="-"/>
            <w:color w:val="000000"/>
            <w:sz w:val="28"/>
            <w:szCs w:val="28"/>
            <w:u w:val="none"/>
          </w:rPr>
          <w:t>місцевого самоврядування в Україні</w:t>
        </w:r>
      </w:hyperlink>
      <w:r>
        <w:rPr>
          <w:color w:val="000000"/>
        </w:rPr>
        <w:t>;</w:t>
      </w:r>
    </w:p>
    <w:p w:rsidR="00DF68EF" w:rsidRDefault="00461692">
      <w:pPr>
        <w:jc w:val="both"/>
        <w:rPr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формування комплексу заходів по підвищенні професійних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посадових осіб місцевого самоврядування та депутатів Ніжинської міської ради;</w:t>
      </w:r>
    </w:p>
    <w:p w:rsidR="00DF68EF" w:rsidRDefault="0046169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забезпечення на</w:t>
      </w:r>
      <w:r>
        <w:rPr>
          <w:color w:val="000000"/>
          <w:sz w:val="28"/>
          <w:szCs w:val="28"/>
          <w:lang w:val="uk-UA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на   рекламних конструкціях (</w:t>
      </w:r>
      <w:proofErr w:type="spellStart"/>
      <w:r>
        <w:rPr>
          <w:color w:val="000000"/>
          <w:sz w:val="28"/>
          <w:szCs w:val="28"/>
          <w:lang w:val="uk-UA"/>
        </w:rPr>
        <w:t>Сітілайтах</w:t>
      </w:r>
      <w:proofErr w:type="spellEnd"/>
      <w:r>
        <w:rPr>
          <w:color w:val="000000"/>
          <w:sz w:val="28"/>
          <w:szCs w:val="28"/>
          <w:lang w:val="uk-UA"/>
        </w:rPr>
        <w:t>), інформаційних стендах та інших засобах для розміщення інформації;</w:t>
      </w:r>
    </w:p>
    <w:p w:rsidR="00DF68EF" w:rsidRDefault="00461692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- сприяння   створенню та діяльності на території міста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міської громади;</w:t>
      </w:r>
    </w:p>
    <w:p w:rsidR="00DF68EF" w:rsidRDefault="00461692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міста.</w:t>
      </w:r>
    </w:p>
    <w:p w:rsidR="00DF68EF" w:rsidRDefault="00DF68EF">
      <w:pPr>
        <w:jc w:val="both"/>
        <w:rPr>
          <w:color w:val="000000"/>
          <w:sz w:val="28"/>
          <w:szCs w:val="28"/>
          <w:lang w:val="uk-UA"/>
        </w:rPr>
      </w:pPr>
    </w:p>
    <w:p w:rsidR="00DF68EF" w:rsidRDefault="00461692">
      <w:pPr>
        <w:ind w:firstLine="708"/>
        <w:jc w:val="center"/>
        <w:rPr>
          <w:lang w:val="uk-UA"/>
        </w:rPr>
      </w:pPr>
      <w:r>
        <w:rPr>
          <w:b/>
          <w:sz w:val="28"/>
        </w:rPr>
        <w:t xml:space="preserve">ІV. </w:t>
      </w:r>
      <w:proofErr w:type="spellStart"/>
      <w:r>
        <w:rPr>
          <w:b/>
          <w:sz w:val="28"/>
          <w:u w:val="single"/>
        </w:rPr>
        <w:t>Обґрунтування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u w:val="single"/>
        </w:rPr>
        <w:t>шляхів</w:t>
      </w:r>
      <w:proofErr w:type="spellEnd"/>
      <w:r>
        <w:rPr>
          <w:b/>
          <w:sz w:val="28"/>
          <w:u w:val="single"/>
        </w:rPr>
        <w:t xml:space="preserve">  і</w:t>
      </w:r>
      <w:proofErr w:type="gram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засобів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проблеми</w:t>
      </w:r>
      <w:proofErr w:type="spellEnd"/>
      <w:r>
        <w:rPr>
          <w:b/>
          <w:sz w:val="28"/>
          <w:u w:val="single"/>
        </w:rPr>
        <w:t xml:space="preserve">, </w:t>
      </w:r>
      <w:proofErr w:type="spellStart"/>
      <w:r>
        <w:rPr>
          <w:b/>
          <w:sz w:val="28"/>
          <w:u w:val="single"/>
        </w:rPr>
        <w:t>обсягів</w:t>
      </w:r>
      <w:proofErr w:type="spellEnd"/>
      <w:r>
        <w:rPr>
          <w:b/>
          <w:sz w:val="28"/>
          <w:u w:val="single"/>
        </w:rPr>
        <w:t xml:space="preserve"> та </w:t>
      </w:r>
      <w:proofErr w:type="spellStart"/>
      <w:r>
        <w:rPr>
          <w:b/>
          <w:sz w:val="28"/>
          <w:u w:val="single"/>
        </w:rPr>
        <w:t>джерел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фінансування</w:t>
      </w:r>
      <w:proofErr w:type="spellEnd"/>
      <w:r>
        <w:rPr>
          <w:b/>
          <w:sz w:val="28"/>
          <w:u w:val="single"/>
        </w:rPr>
        <w:t xml:space="preserve">, строки </w:t>
      </w:r>
      <w:proofErr w:type="spellStart"/>
      <w:r>
        <w:rPr>
          <w:b/>
          <w:sz w:val="28"/>
          <w:u w:val="single"/>
        </w:rPr>
        <w:t>виконання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програми</w:t>
      </w:r>
      <w:proofErr w:type="spellEnd"/>
    </w:p>
    <w:p w:rsidR="00DF68EF" w:rsidRDefault="00DF68EF">
      <w:pPr>
        <w:ind w:firstLine="709"/>
        <w:jc w:val="both"/>
        <w:rPr>
          <w:sz w:val="28"/>
          <w:szCs w:val="28"/>
          <w:lang w:val="uk-UA"/>
        </w:rPr>
      </w:pP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Шляхами розв’язання проблеми є:</w:t>
      </w: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матеріально-технічне забезпечення  роботи виборчих комісій у міжвиборчий період;</w:t>
      </w: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виконання завдань </w:t>
      </w:r>
      <w:r>
        <w:rPr>
          <w:sz w:val="28"/>
          <w:lang w:val="uk-UA"/>
        </w:rPr>
        <w:t xml:space="preserve">Асоціації міст України та громад, Чернігівської обласної Асоціації «Ради Чернігівщини», Асоціації «Енергоефективні міста України» </w:t>
      </w:r>
      <w:r>
        <w:rPr>
          <w:sz w:val="28"/>
          <w:szCs w:val="28"/>
          <w:lang w:val="uk-UA"/>
        </w:rPr>
        <w:t xml:space="preserve"> відповідно до укладених угод;</w:t>
      </w:r>
    </w:p>
    <w:p w:rsidR="00DF68EF" w:rsidRDefault="0046169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- укладання договорів (угод) із </w:t>
      </w:r>
      <w:r>
        <w:rPr>
          <w:sz w:val="28"/>
          <w:szCs w:val="28"/>
          <w:lang w:val="uk-UA"/>
        </w:rPr>
        <w:t xml:space="preserve">фахівцями Національної академії державного управління при Президентові України та іншими експертами, </w:t>
      </w:r>
      <w:r>
        <w:rPr>
          <w:sz w:val="28"/>
          <w:szCs w:val="28"/>
          <w:lang w:val="uk-UA"/>
        </w:rPr>
        <w:lastRenderedPageBreak/>
        <w:t xml:space="preserve">тренерами, </w:t>
      </w:r>
      <w:proofErr w:type="spellStart"/>
      <w:r>
        <w:rPr>
          <w:sz w:val="28"/>
          <w:szCs w:val="28"/>
          <w:lang w:val="uk-UA"/>
        </w:rPr>
        <w:t>коучами</w:t>
      </w:r>
      <w:proofErr w:type="spellEnd"/>
      <w:r>
        <w:rPr>
          <w:sz w:val="28"/>
          <w:szCs w:val="28"/>
          <w:lang w:val="uk-UA"/>
        </w:rPr>
        <w:t xml:space="preserve"> щодо отримання освітніх та інших послуг, </w:t>
      </w:r>
      <w:r>
        <w:rPr>
          <w:color w:val="000000"/>
          <w:sz w:val="28"/>
          <w:szCs w:val="28"/>
          <w:lang w:val="uk-UA" w:eastAsia="uk-UA"/>
        </w:rPr>
        <w:t>забезпечення матеріально-технічною базою (обладнанням, комп’ютерною та оргтехнікою, матеріальними та нематеріальними активами, тощо) для роботи депутатів Ніжинської міської ради;</w:t>
      </w:r>
    </w:p>
    <w:p w:rsidR="00DF68EF" w:rsidRDefault="0046169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 оплати послуг з в</w:t>
      </w:r>
      <w:r>
        <w:rPr>
          <w:color w:val="000000"/>
          <w:sz w:val="28"/>
          <w:szCs w:val="28"/>
          <w:lang w:val="uk-UA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 оплати  оренди рекламних конструкцій (</w:t>
      </w:r>
      <w:proofErr w:type="spellStart"/>
      <w:r>
        <w:rPr>
          <w:color w:val="000000"/>
          <w:sz w:val="28"/>
          <w:szCs w:val="28"/>
          <w:lang w:val="uk-UA"/>
        </w:rPr>
        <w:t>Сітілайтів</w:t>
      </w:r>
      <w:proofErr w:type="spellEnd"/>
      <w:r>
        <w:rPr>
          <w:color w:val="000000"/>
          <w:sz w:val="28"/>
          <w:szCs w:val="28"/>
          <w:lang w:val="uk-UA"/>
        </w:rPr>
        <w:t>),   інформаційних стендів та інших засобів для розміщення інформації;</w:t>
      </w:r>
    </w:p>
    <w:p w:rsidR="00DF68EF" w:rsidRDefault="0046169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надання фінансової підтримки   органам самоорганізації населення</w:t>
      </w:r>
      <w:r w:rsidR="00BE6223">
        <w:rPr>
          <w:color w:val="000000"/>
          <w:sz w:val="28"/>
          <w:szCs w:val="28"/>
          <w:lang w:val="uk-UA"/>
        </w:rPr>
        <w:t>. Підтримка  надається  на  підставі Положення про порядок заохочення активу органів самоорганізації населення м. Ніжина</w:t>
      </w:r>
      <w:r w:rsidR="007321E6">
        <w:rPr>
          <w:color w:val="000000"/>
          <w:sz w:val="28"/>
          <w:szCs w:val="28"/>
          <w:lang w:val="uk-UA"/>
        </w:rPr>
        <w:t xml:space="preserve">  по  результатах роботи  за  рік</w:t>
      </w:r>
      <w:r w:rsidR="00BE6223">
        <w:rPr>
          <w:color w:val="000000"/>
          <w:sz w:val="28"/>
          <w:szCs w:val="28"/>
          <w:lang w:val="uk-UA"/>
        </w:rPr>
        <w:t xml:space="preserve"> (вважати  таким, що  втратив  чинність  пункт 6 даного Положення</w:t>
      </w:r>
      <w:r w:rsidR="007321E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DF68EF" w:rsidRDefault="00DF68E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бюджету.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у бюджетному </w:t>
      </w:r>
      <w:r>
        <w:rPr>
          <w:sz w:val="28"/>
          <w:szCs w:val="28"/>
          <w:lang w:val="uk-UA"/>
        </w:rPr>
        <w:t>періоді</w:t>
      </w:r>
      <w:r>
        <w:rPr>
          <w:sz w:val="28"/>
          <w:szCs w:val="28"/>
        </w:rPr>
        <w:t>.</w:t>
      </w:r>
    </w:p>
    <w:p w:rsidR="00DF68EF" w:rsidRDefault="00461692">
      <w:pPr>
        <w:shd w:val="clear" w:color="auto" w:fill="FFFFFF"/>
        <w:ind w:right="301" w:firstLine="709"/>
        <w:jc w:val="both"/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2019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>.</w:t>
      </w:r>
    </w:p>
    <w:p w:rsidR="00DF68EF" w:rsidRDefault="00DF68EF">
      <w:pPr>
        <w:ind w:left="360"/>
        <w:jc w:val="both"/>
        <w:rPr>
          <w:sz w:val="28"/>
          <w:szCs w:val="28"/>
          <w:lang w:val="uk-UA"/>
        </w:rPr>
      </w:pPr>
    </w:p>
    <w:p w:rsidR="00DF68EF" w:rsidRDefault="00461692">
      <w:pPr>
        <w:ind w:left="360"/>
        <w:jc w:val="center"/>
      </w:pPr>
      <w:r>
        <w:rPr>
          <w:b/>
          <w:sz w:val="28"/>
          <w:szCs w:val="28"/>
          <w:u w:val="single"/>
        </w:rPr>
        <w:t xml:space="preserve">V. </w:t>
      </w:r>
      <w:proofErr w:type="spellStart"/>
      <w:r>
        <w:rPr>
          <w:b/>
          <w:sz w:val="28"/>
          <w:szCs w:val="28"/>
          <w:u w:val="single"/>
        </w:rPr>
        <w:t>Перелік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завдань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програми</w:t>
      </w:r>
      <w:proofErr w:type="spellEnd"/>
      <w:r>
        <w:rPr>
          <w:b/>
          <w:sz w:val="28"/>
          <w:szCs w:val="28"/>
          <w:u w:val="single"/>
        </w:rPr>
        <w:t xml:space="preserve">  та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результативні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показники</w:t>
      </w:r>
      <w:proofErr w:type="spellEnd"/>
    </w:p>
    <w:p w:rsidR="00DF68EF" w:rsidRDefault="004616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Завдання № 1. </w:t>
      </w:r>
      <w:r>
        <w:rPr>
          <w:sz w:val="28"/>
          <w:szCs w:val="28"/>
          <w:lang w:val="uk-UA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матеріально-технічне забезпечення  роботи виборчих комісій у міжвиборчий період.</w:t>
      </w:r>
    </w:p>
    <w:p w:rsidR="00DF68EF" w:rsidRDefault="004616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Завдання № 2. </w:t>
      </w:r>
      <w:r>
        <w:rPr>
          <w:sz w:val="28"/>
          <w:szCs w:val="28"/>
          <w:lang w:val="uk-UA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:rsidR="00DF68EF" w:rsidRDefault="0046169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 xml:space="preserve">Завдання № 3. </w:t>
      </w:r>
      <w:r>
        <w:rPr>
          <w:sz w:val="28"/>
          <w:szCs w:val="28"/>
          <w:lang w:val="uk-UA"/>
        </w:rPr>
        <w:t xml:space="preserve">Підвищення рівня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>
        <w:rPr>
          <w:color w:val="000000"/>
          <w:sz w:val="28"/>
          <w:szCs w:val="28"/>
          <w:lang w:val="uk-UA" w:eastAsia="uk-UA"/>
        </w:rPr>
        <w:t>ефективності управлінських рішень, забезпечення матеріально-технічною базою (обладнанням, комп’ютерною та оргтехнікою, матеріальними та нематеріальними активами, тощо).</w:t>
      </w:r>
    </w:p>
    <w:p w:rsidR="00DF68EF" w:rsidRDefault="00461692">
      <w:pPr>
        <w:shd w:val="clear" w:color="auto" w:fill="FFFFFF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Завдання № 4. </w:t>
      </w:r>
      <w:r>
        <w:rPr>
          <w:bCs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 w:eastAsia="uk-UA"/>
        </w:rPr>
        <w:t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послуг оренди рекламних конструкцій (</w:t>
      </w:r>
      <w:proofErr w:type="spellStart"/>
      <w:r>
        <w:rPr>
          <w:color w:val="000000"/>
          <w:sz w:val="28"/>
          <w:szCs w:val="28"/>
          <w:lang w:val="uk-UA" w:eastAsia="uk-UA"/>
        </w:rPr>
        <w:t>Сітілайтів</w:t>
      </w:r>
      <w:proofErr w:type="spellEnd"/>
      <w:r>
        <w:rPr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інформації.</w:t>
      </w:r>
    </w:p>
    <w:p w:rsidR="00DF68EF" w:rsidRDefault="0046169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Завдання № 5. </w:t>
      </w:r>
      <w:bookmarkStart w:id="1" w:name="__DdeLink__731_2075881422"/>
      <w:bookmarkEnd w:id="1"/>
      <w:r>
        <w:rPr>
          <w:bCs/>
          <w:sz w:val="28"/>
          <w:szCs w:val="28"/>
          <w:lang w:val="uk-UA"/>
        </w:rPr>
        <w:t>Фінансова</w:t>
      </w:r>
      <w:r>
        <w:rPr>
          <w:sz w:val="28"/>
          <w:szCs w:val="28"/>
          <w:lang w:val="uk-UA"/>
        </w:rPr>
        <w:t xml:space="preserve"> підтримка діяльності </w:t>
      </w:r>
      <w:r>
        <w:rPr>
          <w:color w:val="000000"/>
          <w:sz w:val="28"/>
          <w:szCs w:val="28"/>
          <w:lang w:val="uk-UA"/>
        </w:rPr>
        <w:t>органів самоорганізації населення.</w:t>
      </w:r>
      <w:r>
        <w:rPr>
          <w:b/>
          <w:sz w:val="28"/>
          <w:szCs w:val="28"/>
          <w:lang w:val="uk-UA"/>
        </w:rPr>
        <w:tab/>
      </w:r>
    </w:p>
    <w:p w:rsidR="00DF68EF" w:rsidRDefault="00461692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самоврядування. </w:t>
      </w:r>
    </w:p>
    <w:p w:rsidR="00DF68EF" w:rsidRPr="00461692" w:rsidRDefault="00461692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68EF" w:rsidRDefault="00461692">
      <w:pPr>
        <w:tabs>
          <w:tab w:val="left" w:pos="1008"/>
        </w:tabs>
        <w:jc w:val="center"/>
      </w:pPr>
      <w:proofErr w:type="spellStart"/>
      <w:r>
        <w:rPr>
          <w:b/>
          <w:sz w:val="28"/>
          <w:szCs w:val="28"/>
          <w:u w:val="single"/>
        </w:rPr>
        <w:t>VІ.Напрями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діяльності</w:t>
      </w:r>
      <w:proofErr w:type="spellEnd"/>
      <w:r>
        <w:rPr>
          <w:b/>
          <w:sz w:val="28"/>
          <w:szCs w:val="28"/>
          <w:u w:val="single"/>
        </w:rPr>
        <w:t xml:space="preserve"> та заходи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</w:p>
    <w:p w:rsidR="00DF68EF" w:rsidRDefault="00461692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Для реалізації визначених завдань передбачено здійснення ряду заходів у напрямках:</w:t>
      </w:r>
    </w:p>
    <w:p w:rsidR="00DF68EF" w:rsidRDefault="00461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DF68EF" w:rsidRDefault="0046169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 п</w:t>
      </w:r>
      <w:r>
        <w:rPr>
          <w:sz w:val="28"/>
          <w:lang w:val="uk-UA"/>
        </w:rPr>
        <w:t>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:rsidR="00DF68EF" w:rsidRDefault="004616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п</w:t>
      </w:r>
      <w:r>
        <w:rPr>
          <w:sz w:val="28"/>
          <w:szCs w:val="28"/>
          <w:lang w:val="uk-UA"/>
        </w:rPr>
        <w:t>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2019рік та укладених угод (договорів);</w:t>
      </w:r>
    </w:p>
    <w:p w:rsidR="00DF68EF" w:rsidRDefault="00461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</w:t>
      </w:r>
      <w:r>
        <w:rPr>
          <w:sz w:val="28"/>
          <w:szCs w:val="28"/>
        </w:rPr>
        <w:t xml:space="preserve">рук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опитувань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тиражування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бюлетенів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опитувань</w:t>
      </w:r>
      <w:proofErr w:type="spellEnd"/>
      <w:r>
        <w:rPr>
          <w:sz w:val="28"/>
          <w:szCs w:val="28"/>
          <w:lang w:val="uk-UA"/>
        </w:rPr>
        <w:t>;</w:t>
      </w:r>
    </w:p>
    <w:p w:rsidR="00DF68EF" w:rsidRDefault="0046169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- з</w:t>
      </w:r>
      <w:proofErr w:type="spellStart"/>
      <w:r>
        <w:rPr>
          <w:sz w:val="28"/>
          <w:szCs w:val="28"/>
        </w:rPr>
        <w:t>алучення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коучів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тренерів</w:t>
      </w:r>
      <w:proofErr w:type="spellEnd"/>
      <w:r>
        <w:rPr>
          <w:sz w:val="28"/>
          <w:szCs w:val="28"/>
          <w:lang w:val="uk-UA"/>
        </w:rPr>
        <w:t>;</w:t>
      </w:r>
    </w:p>
    <w:p w:rsidR="00DF68EF" w:rsidRDefault="00461692">
      <w:pPr>
        <w:pStyle w:val="a6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- висвітлення діяльності органів місцевого самоврядування та публічного управління, </w:t>
      </w:r>
      <w:r>
        <w:rPr>
          <w:color w:val="000000"/>
          <w:sz w:val="28"/>
          <w:szCs w:val="28"/>
          <w:lang w:eastAsia="uk-UA"/>
        </w:rPr>
        <w:t>укладання угод з надавачами послуг щодо оплати послуг оренди рекламних конструкцій (</w:t>
      </w:r>
      <w:proofErr w:type="spellStart"/>
      <w:r>
        <w:rPr>
          <w:color w:val="000000"/>
          <w:sz w:val="28"/>
          <w:szCs w:val="28"/>
          <w:lang w:eastAsia="uk-UA"/>
        </w:rPr>
        <w:t>Сітілайтів</w:t>
      </w:r>
      <w:proofErr w:type="spellEnd"/>
      <w:r>
        <w:rPr>
          <w:color w:val="000000"/>
          <w:sz w:val="28"/>
          <w:szCs w:val="28"/>
          <w:lang w:eastAsia="uk-UA"/>
        </w:rPr>
        <w:t>),   інформаційних стендів та інших засобів для розміщення інформації;</w:t>
      </w:r>
    </w:p>
    <w:p w:rsidR="00DF68EF" w:rsidRDefault="0046169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- надання ф</w:t>
      </w:r>
      <w:r>
        <w:rPr>
          <w:bCs/>
          <w:sz w:val="28"/>
          <w:szCs w:val="28"/>
          <w:lang w:val="uk-UA"/>
        </w:rPr>
        <w:t>інансової</w:t>
      </w:r>
      <w:r>
        <w:rPr>
          <w:sz w:val="28"/>
          <w:szCs w:val="28"/>
          <w:lang w:val="uk-UA"/>
        </w:rPr>
        <w:t xml:space="preserve"> підтримки діяльності </w:t>
      </w:r>
      <w:r>
        <w:rPr>
          <w:color w:val="000000"/>
          <w:sz w:val="28"/>
          <w:szCs w:val="28"/>
          <w:lang w:val="uk-UA"/>
        </w:rPr>
        <w:t>органів самоорганізації населення.</w:t>
      </w:r>
    </w:p>
    <w:p w:rsidR="00DF68EF" w:rsidRPr="00461692" w:rsidRDefault="00DF68EF">
      <w:pPr>
        <w:jc w:val="both"/>
        <w:rPr>
          <w:sz w:val="28"/>
          <w:szCs w:val="28"/>
          <w:lang w:val="uk-UA"/>
        </w:rPr>
      </w:pPr>
    </w:p>
    <w:p w:rsidR="00DF68EF" w:rsidRDefault="00461692">
      <w:pPr>
        <w:ind w:firstLine="709"/>
      </w:pPr>
      <w:r>
        <w:rPr>
          <w:b/>
          <w:sz w:val="28"/>
          <w:szCs w:val="28"/>
          <w:u w:val="single"/>
        </w:rPr>
        <w:t xml:space="preserve">VІІ. </w:t>
      </w:r>
      <w:proofErr w:type="spellStart"/>
      <w:r>
        <w:rPr>
          <w:b/>
          <w:sz w:val="28"/>
          <w:szCs w:val="28"/>
          <w:u w:val="single"/>
        </w:rPr>
        <w:t>Координація</w:t>
      </w:r>
      <w:proofErr w:type="spellEnd"/>
      <w:r>
        <w:rPr>
          <w:b/>
          <w:sz w:val="28"/>
          <w:szCs w:val="28"/>
          <w:u w:val="single"/>
        </w:rPr>
        <w:t xml:space="preserve"> та контроль за ходом </w:t>
      </w:r>
      <w:proofErr w:type="spellStart"/>
      <w:proofErr w:type="gramStart"/>
      <w:r>
        <w:rPr>
          <w:b/>
          <w:sz w:val="28"/>
          <w:szCs w:val="28"/>
          <w:u w:val="single"/>
        </w:rPr>
        <w:t>виконання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відповідальними виконавцями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 бюджетному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періоді</w:t>
      </w:r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  <w:lang w:val="uk-UA"/>
        </w:rPr>
        <w:t>.</w:t>
      </w:r>
    </w:p>
    <w:p w:rsidR="00DF68EF" w:rsidRDefault="00461692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>
        <w:rPr>
          <w:spacing w:val="-3"/>
          <w:sz w:val="28"/>
          <w:szCs w:val="28"/>
          <w:lang w:val="uk-UA"/>
        </w:rPr>
        <w:t>.</w:t>
      </w:r>
    </w:p>
    <w:p w:rsidR="00DF68EF" w:rsidRDefault="00461692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</w:t>
      </w:r>
      <w:r>
        <w:rPr>
          <w:spacing w:val="-1"/>
          <w:sz w:val="28"/>
          <w:szCs w:val="28"/>
          <w:lang w:val="uk-UA"/>
        </w:rPr>
        <w:t>використання бюджетних коштів, в</w:t>
      </w:r>
      <w:r>
        <w:rPr>
          <w:sz w:val="28"/>
          <w:szCs w:val="28"/>
          <w:lang w:val="uk-UA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DF68EF" w:rsidRDefault="0046169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щоквартально</w:t>
      </w:r>
      <w:proofErr w:type="spellEnd"/>
      <w:r>
        <w:rPr>
          <w:sz w:val="28"/>
          <w:szCs w:val="28"/>
        </w:rPr>
        <w:t xml:space="preserve"> до 6-го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кварталом,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оловним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</w:p>
    <w:p w:rsidR="00DF68EF" w:rsidRDefault="00DF68EF">
      <w:pPr>
        <w:pStyle w:val="a6"/>
        <w:jc w:val="center"/>
        <w:rPr>
          <w:b/>
          <w:sz w:val="28"/>
          <w:szCs w:val="28"/>
          <w:u w:val="single"/>
        </w:rPr>
      </w:pPr>
    </w:p>
    <w:p w:rsidR="00DF68EF" w:rsidRDefault="00DF68EF">
      <w:pPr>
        <w:ind w:firstLine="540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DF68EF" w:rsidRDefault="00DF68EF">
      <w:pPr>
        <w:rPr>
          <w:b/>
          <w:color w:val="000000"/>
          <w:sz w:val="28"/>
          <w:szCs w:val="28"/>
          <w:u w:val="single"/>
          <w:lang w:val="uk-UA"/>
        </w:rPr>
      </w:pPr>
    </w:p>
    <w:p w:rsidR="00DF68EF" w:rsidRDefault="00461692"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DF68EF">
      <w:pPr>
        <w:rPr>
          <w:sz w:val="28"/>
          <w:szCs w:val="28"/>
          <w:lang w:val="uk-UA"/>
        </w:rPr>
      </w:pPr>
    </w:p>
    <w:p w:rsidR="00DF68EF" w:rsidRDefault="00461692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Додаток</w:t>
      </w:r>
      <w:r w:rsidR="00574025">
        <w:rPr>
          <w:sz w:val="28"/>
          <w:szCs w:val="28"/>
          <w:lang w:val="uk-UA"/>
        </w:rPr>
        <w:t xml:space="preserve"> 1</w:t>
      </w:r>
    </w:p>
    <w:p w:rsidR="00DF68EF" w:rsidRDefault="00461692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міської цільової програми </w:t>
      </w:r>
    </w:p>
    <w:p w:rsidR="00DF68EF" w:rsidRDefault="00461692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 виконання власних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повноважень Ніжинської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міської ради на 2019рік</w:t>
      </w:r>
      <w:r>
        <w:rPr>
          <w:sz w:val="28"/>
          <w:szCs w:val="28"/>
          <w:lang w:val="uk-UA"/>
        </w:rPr>
        <w:tab/>
      </w:r>
    </w:p>
    <w:p w:rsidR="00DF68EF" w:rsidRDefault="00DF68EF"/>
    <w:p w:rsidR="00DF68EF" w:rsidRDefault="0046169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забезпечення програми</w:t>
      </w:r>
    </w:p>
    <w:tbl>
      <w:tblPr>
        <w:tblW w:w="9907" w:type="dxa"/>
        <w:tblInd w:w="-1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6"/>
        <w:gridCol w:w="997"/>
        <w:gridCol w:w="1417"/>
        <w:gridCol w:w="3457"/>
      </w:tblGrid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</w:rPr>
              <w:t>Завдання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</w:tr>
      <w:tr w:rsidR="00DF68EF">
        <w:tc>
          <w:tcPr>
            <w:tcW w:w="99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№ 1  </w:t>
            </w:r>
          </w:p>
        </w:tc>
      </w:tr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Придбання конвертів, марок тощо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</w:pPr>
            <w:r>
              <w:rPr>
                <w:sz w:val="24"/>
                <w:szCs w:val="24"/>
                <w:lang w:val="uk-UA"/>
              </w:rPr>
              <w:t>Опублікування оголошень, о</w:t>
            </w:r>
            <w:proofErr w:type="spellStart"/>
            <w:r>
              <w:rPr>
                <w:sz w:val="24"/>
                <w:szCs w:val="24"/>
              </w:rPr>
              <w:t>прилюднення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регуляторних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видатки на реєстрацію права власності на житло за територіальною громадою в органах БТІ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  <w:p w:rsidR="00DF68EF" w:rsidRDefault="00DF68E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uk-UA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DF68EF">
        <w:tc>
          <w:tcPr>
            <w:tcW w:w="99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№ 2</w:t>
            </w:r>
          </w:p>
        </w:tc>
      </w:tr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Сплата членських внесків до асоціацій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DF68EF">
        <w:tc>
          <w:tcPr>
            <w:tcW w:w="99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№ 3</w:t>
            </w:r>
          </w:p>
        </w:tc>
      </w:tr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>
              <w:rPr>
                <w:sz w:val="24"/>
                <w:szCs w:val="24"/>
                <w:lang w:val="uk-UA"/>
              </w:rPr>
              <w:t>коучів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тренерів;послуги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 д</w:t>
            </w:r>
            <w:r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розробок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результатів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досліджень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соціологічних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опитувань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тиражування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бюлетенів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голосування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проведенні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соціологічних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опитувань</w:t>
            </w:r>
            <w:proofErr w:type="spellEnd"/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DF68EF">
        <w:tc>
          <w:tcPr>
            <w:tcW w:w="99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№ 4</w:t>
            </w:r>
          </w:p>
        </w:tc>
      </w:tr>
      <w:tr w:rsidR="00DF68EF">
        <w:tc>
          <w:tcPr>
            <w:tcW w:w="40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ослуги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з висвітлення на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рекламних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конструкці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ях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Сітілайт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інформаційних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стенд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засоб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ах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УПСЗН</w:t>
            </w:r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Управління культури і туризму</w:t>
            </w:r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ді</w:t>
            </w:r>
            <w:r>
              <w:rPr>
                <w:bCs/>
                <w:color w:val="000000"/>
                <w:sz w:val="24"/>
                <w:szCs w:val="24"/>
              </w:rPr>
              <w:t xml:space="preserve">л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культурита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спорту</w:t>
            </w:r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УЖКГтаБ</w:t>
            </w:r>
            <w:proofErr w:type="spellEnd"/>
          </w:p>
        </w:tc>
      </w:tr>
      <w:tr w:rsidR="00DF68EF">
        <w:tc>
          <w:tcPr>
            <w:tcW w:w="4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spacing w:after="2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Фінансове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F68EF">
        <w:trPr>
          <w:trHeight w:val="268"/>
        </w:trPr>
        <w:tc>
          <w:tcPr>
            <w:tcW w:w="99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№ 5</w:t>
            </w:r>
          </w:p>
        </w:tc>
      </w:tr>
      <w:tr w:rsidR="00DF68EF">
        <w:trPr>
          <w:trHeight w:val="517"/>
        </w:trPr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spacing w:after="2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Фінансова  підтримка діяльності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DF68EF">
        <w:trPr>
          <w:trHeight w:val="515"/>
        </w:trPr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spacing w:after="2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готівкового </w:t>
            </w:r>
            <w:r>
              <w:rPr>
                <w:sz w:val="24"/>
                <w:szCs w:val="24"/>
                <w:lang w:val="uk-UA"/>
              </w:rPr>
              <w:lastRenderedPageBreak/>
              <w:t>обслуговування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DF68EF"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461692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F68EF" w:rsidRDefault="00DF68E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DF68EF" w:rsidRDefault="00DF68EF">
      <w:pPr>
        <w:rPr>
          <w:sz w:val="24"/>
          <w:szCs w:val="24"/>
          <w:lang w:val="uk-UA"/>
        </w:rPr>
      </w:pPr>
    </w:p>
    <w:p w:rsidR="00DF68EF" w:rsidRDefault="00DF68EF">
      <w:pPr>
        <w:rPr>
          <w:sz w:val="24"/>
          <w:szCs w:val="24"/>
          <w:lang w:val="uk-UA"/>
        </w:rPr>
      </w:pPr>
    </w:p>
    <w:p w:rsidR="00DF68EF" w:rsidRDefault="00DF68EF">
      <w:pPr>
        <w:rPr>
          <w:sz w:val="24"/>
          <w:szCs w:val="24"/>
          <w:lang w:val="uk-UA"/>
        </w:rPr>
      </w:pPr>
    </w:p>
    <w:p w:rsidR="00DF68EF" w:rsidRDefault="00461692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т. ч. по </w:t>
      </w:r>
      <w:r>
        <w:rPr>
          <w:sz w:val="24"/>
          <w:szCs w:val="24"/>
          <w:lang w:val="uk-UA"/>
        </w:rPr>
        <w:t>головних розпорядниках</w:t>
      </w:r>
    </w:p>
    <w:tbl>
      <w:tblPr>
        <w:tblW w:w="7795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1561"/>
        <w:gridCol w:w="1701"/>
      </w:tblGrid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КЕКВ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С</w:t>
            </w:r>
            <w:r>
              <w:rPr>
                <w:b/>
                <w:i/>
                <w:sz w:val="24"/>
                <w:szCs w:val="24"/>
              </w:rPr>
              <w:t>ума</w:t>
            </w:r>
            <w:r>
              <w:rPr>
                <w:b/>
                <w:i/>
                <w:sz w:val="24"/>
                <w:szCs w:val="24"/>
                <w:lang w:val="uk-UA"/>
              </w:rPr>
              <w:t>, грн.</w:t>
            </w:r>
          </w:p>
        </w:tc>
      </w:tr>
      <w:tr w:rsidR="00DF68EF">
        <w:tc>
          <w:tcPr>
            <w:tcW w:w="4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4 000,00</w:t>
            </w:r>
          </w:p>
        </w:tc>
      </w:tr>
      <w:tr w:rsidR="00DF68EF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DF68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40 000,00</w:t>
            </w:r>
          </w:p>
        </w:tc>
      </w:tr>
      <w:tr w:rsidR="00DF68EF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DF68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39 000,00</w:t>
            </w:r>
          </w:p>
        </w:tc>
      </w:tr>
      <w:tr w:rsidR="00DF68EF">
        <w:trPr>
          <w:trHeight w:val="217"/>
        </w:trPr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DF68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 w:rsidP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Всього по в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иконавч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ому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DF68EF">
            <w:pPr>
              <w:pStyle w:val="a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145 000,00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C037D5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461692">
              <w:rPr>
                <w:b/>
                <w:sz w:val="24"/>
                <w:szCs w:val="24"/>
                <w:lang w:val="uk-UA"/>
              </w:rPr>
              <w:t> 000,00</w:t>
            </w:r>
          </w:p>
        </w:tc>
      </w:tr>
      <w:tr w:rsidR="00C037D5" w:rsidTr="00461062">
        <w:trPr>
          <w:trHeight w:val="412"/>
        </w:trPr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C037D5" w:rsidRDefault="00C037D5" w:rsidP="00461062">
            <w:pPr>
              <w:spacing w:after="20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(</w:t>
            </w:r>
            <w:r>
              <w:rPr>
                <w:b/>
                <w:color w:val="000000"/>
                <w:sz w:val="24"/>
                <w:szCs w:val="24"/>
              </w:rPr>
              <w:t>УПСЗН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C037D5" w:rsidRDefault="00C037D5" w:rsidP="00461062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C037D5" w:rsidRDefault="00C037D5" w:rsidP="00461062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10 000,00</w:t>
            </w:r>
          </w:p>
        </w:tc>
      </w:tr>
      <w:tr w:rsidR="00C037D5" w:rsidTr="00461062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C037D5" w:rsidRDefault="00C037D5" w:rsidP="00461062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культури і туризму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C037D5" w:rsidRDefault="00C037D5" w:rsidP="00461062">
            <w:pPr>
              <w:jc w:val="center"/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C037D5" w:rsidRDefault="00C037D5" w:rsidP="00461062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ідідл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та спорту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F68EF" w:rsidRDefault="00DF68E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68EF" w:rsidRDefault="00461692">
            <w:pPr>
              <w:jc w:val="center"/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C037D5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461692">
              <w:rPr>
                <w:b/>
                <w:sz w:val="24"/>
                <w:szCs w:val="24"/>
                <w:lang w:val="uk-UA"/>
              </w:rPr>
              <w:t>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spacing w:after="20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 та будівництва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УЖКГтаБ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F68EF" w:rsidRDefault="00DF68E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68EF" w:rsidRDefault="00461692">
            <w:pPr>
              <w:jc w:val="center"/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Фінансове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F68EF" w:rsidRDefault="00461692">
            <w:pPr>
              <w:jc w:val="center"/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9 000,00</w:t>
            </w:r>
          </w:p>
        </w:tc>
      </w:tr>
      <w:tr w:rsidR="00DF68EF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DF68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DF68EF" w:rsidRDefault="00461692">
            <w:pPr>
              <w:pStyle w:val="a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200 000,00</w:t>
            </w:r>
          </w:p>
        </w:tc>
      </w:tr>
    </w:tbl>
    <w:p w:rsidR="00DF68EF" w:rsidRDefault="00DF68EF">
      <w:pPr>
        <w:rPr>
          <w:sz w:val="24"/>
          <w:szCs w:val="24"/>
        </w:rPr>
      </w:pPr>
    </w:p>
    <w:p w:rsidR="00DF68EF" w:rsidRDefault="00DF68EF">
      <w:pPr>
        <w:rPr>
          <w:sz w:val="24"/>
          <w:szCs w:val="24"/>
        </w:rPr>
      </w:pPr>
    </w:p>
    <w:p w:rsidR="00DF68EF" w:rsidRDefault="004616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68EF" w:rsidRDefault="00DF68EF"/>
    <w:sectPr w:rsidR="00DF68EF" w:rsidSect="00DF68EF">
      <w:pgSz w:w="11906" w:h="16838"/>
      <w:pgMar w:top="539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EF"/>
    <w:rsid w:val="001B7195"/>
    <w:rsid w:val="003F47E0"/>
    <w:rsid w:val="00414D83"/>
    <w:rsid w:val="00461692"/>
    <w:rsid w:val="00574025"/>
    <w:rsid w:val="005E2E11"/>
    <w:rsid w:val="00615571"/>
    <w:rsid w:val="007321E6"/>
    <w:rsid w:val="00867594"/>
    <w:rsid w:val="00AE5A94"/>
    <w:rsid w:val="00BE6223"/>
    <w:rsid w:val="00C037D5"/>
    <w:rsid w:val="00D25776"/>
    <w:rsid w:val="00DF68EF"/>
    <w:rsid w:val="00E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9905-29E2-4FEC-8C3C-64CA44A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61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A6161"/>
    <w:rPr>
      <w:color w:val="0000FF"/>
      <w:u w:val="single"/>
    </w:rPr>
  </w:style>
  <w:style w:type="character" w:customStyle="1" w:styleId="FontStyle11">
    <w:name w:val="Font Style11"/>
    <w:basedOn w:val="a0"/>
    <w:qFormat/>
    <w:rsid w:val="00AA6161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Strong"/>
    <w:qFormat/>
    <w:rsid w:val="00AA6161"/>
    <w:rPr>
      <w:b/>
      <w:bCs/>
    </w:rPr>
  </w:style>
  <w:style w:type="character" w:customStyle="1" w:styleId="a4">
    <w:name w:val="Основний текст Знак"/>
    <w:basedOn w:val="a0"/>
    <w:qFormat/>
    <w:rsid w:val="00AA61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у виносці Знак"/>
    <w:basedOn w:val="a0"/>
    <w:uiPriority w:val="99"/>
    <w:semiHidden/>
    <w:qFormat/>
    <w:rsid w:val="00CC7B70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sid w:val="00DD08A9"/>
    <w:rPr>
      <w:lang w:val="uk-UA"/>
    </w:rPr>
  </w:style>
  <w:style w:type="character" w:customStyle="1" w:styleId="ListLabel2">
    <w:name w:val="ListLabel 2"/>
    <w:qFormat/>
    <w:rsid w:val="00DD08A9"/>
    <w:rPr>
      <w:rFonts w:cs="Times New Roman"/>
      <w:lang w:val="uk-UA"/>
    </w:rPr>
  </w:style>
  <w:style w:type="character" w:customStyle="1" w:styleId="ListLabel3">
    <w:name w:val="ListLabel 3"/>
    <w:qFormat/>
    <w:rsid w:val="00DD08A9"/>
    <w:rPr>
      <w:lang w:val="uk-UA"/>
    </w:rPr>
  </w:style>
  <w:style w:type="character" w:customStyle="1" w:styleId="ListLabel4">
    <w:name w:val="ListLabel 4"/>
    <w:qFormat/>
    <w:rsid w:val="00DD08A9"/>
    <w:rPr>
      <w:rFonts w:cs="Times New Roman"/>
      <w:lang w:val="uk-UA"/>
    </w:rPr>
  </w:style>
  <w:style w:type="character" w:customStyle="1" w:styleId="ListLabel5">
    <w:name w:val="ListLabel 5"/>
    <w:qFormat/>
    <w:rsid w:val="00DD08A9"/>
    <w:rPr>
      <w:lang w:val="uk-UA"/>
    </w:rPr>
  </w:style>
  <w:style w:type="character" w:customStyle="1" w:styleId="ListLabel6">
    <w:name w:val="ListLabel 6"/>
    <w:qFormat/>
    <w:rsid w:val="00DD08A9"/>
    <w:rPr>
      <w:rFonts w:cs="Times New Roman"/>
      <w:lang w:val="uk-UA"/>
    </w:rPr>
  </w:style>
  <w:style w:type="character" w:customStyle="1" w:styleId="ListLabel7">
    <w:name w:val="ListLabel 7"/>
    <w:qFormat/>
    <w:rsid w:val="00DD08A9"/>
    <w:rPr>
      <w:lang w:val="uk-UA"/>
    </w:rPr>
  </w:style>
  <w:style w:type="character" w:customStyle="1" w:styleId="WW8Num3z0">
    <w:name w:val="WW8Num3z0"/>
    <w:qFormat/>
    <w:rsid w:val="00DD08A9"/>
    <w:rPr>
      <w:rFonts w:ascii="Times New Roman" w:hAnsi="Times New Roman" w:cs="Times New Roman"/>
      <w:lang w:val="uk-UA"/>
    </w:rPr>
  </w:style>
  <w:style w:type="character" w:customStyle="1" w:styleId="ListLabel8">
    <w:name w:val="ListLabel 8"/>
    <w:qFormat/>
    <w:rsid w:val="00DD08A9"/>
    <w:rPr>
      <w:rFonts w:cs="Times New Roman"/>
      <w:sz w:val="28"/>
      <w:lang w:val="uk-UA"/>
    </w:rPr>
  </w:style>
  <w:style w:type="character" w:customStyle="1" w:styleId="ListLabel9">
    <w:name w:val="ListLabel 9"/>
    <w:qFormat/>
    <w:rsid w:val="00DF68EF"/>
    <w:rPr>
      <w:rFonts w:cs="Times New Roman"/>
      <w:sz w:val="28"/>
      <w:lang w:val="uk-UA"/>
    </w:rPr>
  </w:style>
  <w:style w:type="paragraph" w:customStyle="1" w:styleId="1">
    <w:name w:val="Заголовок1"/>
    <w:basedOn w:val="a"/>
    <w:next w:val="a6"/>
    <w:qFormat/>
    <w:rsid w:val="00DD08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A6161"/>
    <w:pPr>
      <w:widowControl/>
      <w:jc w:val="both"/>
    </w:pPr>
    <w:rPr>
      <w:sz w:val="24"/>
      <w:szCs w:val="24"/>
      <w:lang w:val="uk-UA"/>
    </w:rPr>
  </w:style>
  <w:style w:type="paragraph" w:styleId="a7">
    <w:name w:val="List"/>
    <w:basedOn w:val="a6"/>
    <w:rsid w:val="00DD08A9"/>
    <w:rPr>
      <w:rFonts w:cs="Mangal"/>
    </w:rPr>
  </w:style>
  <w:style w:type="paragraph" w:customStyle="1" w:styleId="10">
    <w:name w:val="Название объекта1"/>
    <w:basedOn w:val="a"/>
    <w:qFormat/>
    <w:rsid w:val="00DD08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D08A9"/>
    <w:pPr>
      <w:suppressLineNumbers/>
    </w:pPr>
    <w:rPr>
      <w:rFonts w:cs="Mangal"/>
    </w:rPr>
  </w:style>
  <w:style w:type="paragraph" w:customStyle="1" w:styleId="11">
    <w:name w:val="Обычный (веб)1"/>
    <w:basedOn w:val="a"/>
    <w:qFormat/>
    <w:rsid w:val="00AA6161"/>
    <w:pPr>
      <w:widowControl/>
      <w:spacing w:before="280" w:after="280"/>
    </w:pPr>
    <w:rPr>
      <w:sz w:val="24"/>
      <w:szCs w:val="24"/>
      <w:lang w:val="uk-UA"/>
    </w:rPr>
  </w:style>
  <w:style w:type="paragraph" w:customStyle="1" w:styleId="a9">
    <w:name w:val="Содержимое таблицы"/>
    <w:basedOn w:val="a"/>
    <w:qFormat/>
    <w:rsid w:val="00AA6161"/>
    <w:pPr>
      <w:suppressLineNumbers/>
    </w:pPr>
  </w:style>
  <w:style w:type="paragraph" w:customStyle="1" w:styleId="12">
    <w:name w:val="Без интервала1"/>
    <w:qFormat/>
    <w:rsid w:val="00AA6161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3">
    <w:name w:val="Обычный1"/>
    <w:qFormat/>
    <w:rsid w:val="00AA616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CC7B70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qFormat/>
    <w:rsid w:val="00DD08A9"/>
  </w:style>
  <w:style w:type="paragraph" w:styleId="ac">
    <w:name w:val="List Paragraph"/>
    <w:basedOn w:val="a"/>
    <w:uiPriority w:val="34"/>
    <w:qFormat/>
    <w:rsid w:val="007075F5"/>
    <w:pPr>
      <w:ind w:left="720"/>
      <w:contextualSpacing/>
    </w:pPr>
  </w:style>
  <w:style w:type="numbering" w:customStyle="1" w:styleId="WW8Num3">
    <w:name w:val="WW8Num3"/>
    <w:qFormat/>
    <w:rsid w:val="00DD08A9"/>
  </w:style>
  <w:style w:type="paragraph" w:styleId="ad">
    <w:name w:val="No Spacing"/>
    <w:uiPriority w:val="1"/>
    <w:qFormat/>
    <w:rsid w:val="00C037D5"/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93FF-8FBB-4397-AC3E-4A8BE964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9973</Words>
  <Characters>5686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dc:description/>
  <cp:lastModifiedBy>Користувач Windows</cp:lastModifiedBy>
  <cp:revision>2</cp:revision>
  <cp:lastPrinted>2018-09-24T16:09:00Z</cp:lastPrinted>
  <dcterms:created xsi:type="dcterms:W3CDTF">2019-01-18T08:40:00Z</dcterms:created>
  <dcterms:modified xsi:type="dcterms:W3CDTF">2019-01-18T08:40:00Z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